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26-358</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105</w:t>
      </w:r>
    </w:p>
    <w:p>
      <w:pPr>
        <w:spacing w:before="0" w:after="0" w:line="480"/>
        <w:ind w:left="120"/>
        <w:jc w:val="center"/>
      </w:pPr>
      <w:r>
        <w:rPr>
          <w:rFonts w:ascii="Times New Roman" w:hAnsi="Times New Roman"/>
          <w:b w:val="false"/>
          <w:i w:val="false"/>
          <w:color w:val="000000"/>
          <w:sz w:val="24"/>
        </w:rPr>
        <w:t>“Mobile, Modular, and Manufactured Home Tax”</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421.14</w:t>
      </w:r>
    </w:p>
    <w:p>
      <w:pPr>
        <w:spacing w:before="0" w:after="0" w:line="480"/>
        <w:ind w:left="120"/>
        <w:jc w:val="both"/>
      </w:pPr>
      <w:r>
        <w:rPr>
          <w:rFonts w:ascii="Times New Roman" w:hAnsi="Times New Roman"/>
          <w:b w:val="false"/>
          <w:i w:val="false"/>
          <w:color w:val="000000"/>
          <w:sz w:val="24"/>
        </w:rPr>
        <w:t>State or federal law(s) implemented by the rulemaking: Iowa Code chapter 435</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2 to 3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Via videoconference call:</w:t>
            </w:r>
            <w:r>
              <w:br/>
            </w:r>
            <w:hyperlink r:id="rId4">
              <w:r>
                <w:rPr>
                  <w:rStyle w:val="Hyperlink"/>
                  <w:rFonts w:ascii="Times New Roman" w:hAnsi="Times New Roman"/>
                  <w:b w:val="false"/>
                  <w:i w:val="false"/>
                  <w:color w:val="0000ff"/>
                  <w:sz w:val="14"/>
                </w:rPr>
                <w:t>meet.google.com/egs-ucjg-frv</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Nick Behlke</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50306-3457</w:t>
            </w:r>
            <w:r>
              <w:br/>
            </w:r>
            <w:r>
              <w:rPr>
                <w:rFonts w:ascii="Times New Roman" w:hAnsi="Times New Roman"/>
                <w:b w:val="false"/>
                <w:i w:val="false"/>
                <w:color w:val="000000"/>
                <w:sz w:val="14"/>
              </w:rPr>
              <w:t>Phone: 515.336.9025</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nick.behlke@iowa.gov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this proposed rulemaking is to rescind and adopt a new Chapter 105. These proposed rules describe the Department’s interpretation of the underlying statutes on the taxation of mobile, modular, and manufactured homes. The Department proposes revisions to remove portions of the rules that the Department determined are obsolete, unnecessary, or duplicative of statutory language as required by Executive Order 10. Further, the Department proposes revisions to the chapter to add clarity and better organization to aid the public’s understanding of the mobile, modular, and manufactured home tax.</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create costs for any classes of persons.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Local governments will benefit from a greater understanding of the assessment and taxation of manufactured and mobile homes. Property owners of manufactured and mobile homes will benefit from consistent and accurate application of the law to their property.</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this proposed rulemaking beyond what is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benefits of this proposed rulemaking beyond what is already provided in statute is the value of having a clear understanding of how to properly tax manufactured and mobile homes in order to ensure a consistent application of the law across the state and eliminate any confusion that could prevent an individual’s property from being improperly taxed.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beyond what is already required to administer the relevant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A greater understanding of the taxation of manufactured and mobile homes will ensure that the correct amount of taxes is collected.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potential confusion about taxation of manufactured and mobile homes. There is no cost associated with this proposed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This proposed rulemaking is not costly or intrusive.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 xml:space="preserve">The Department did not consider any alternative methods.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Failing to have rules on the taxation of manufactured and mobile homes would lead to greater confusion about the application of the tax and could lead to property being improperly taxed. The chapter is proposed to be updated to remove outdated and duplicative language.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impact on small business associated with this proposed rulemaking.</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105</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105</w:t>
      </w:r>
    </w:p>
    <w:p>
      <w:pPr>
        <w:spacing w:before="0" w:after="0" w:line="480"/>
        <w:ind w:left="120"/>
        <w:jc w:val="center"/>
      </w:pPr>
      <w:r>
        <w:rPr>
          <w:rFonts w:ascii="Times New Roman" w:hAnsi="Times New Roman"/>
          <w:b w:val="false"/>
          <w:i w:val="false"/>
          <w:color w:val="000000"/>
          <w:sz w:val="21"/>
        </w:rPr>
        <w:t>MOBILE, MODULAR, AND MANUFACTURED HOME TAX</w:t>
      </w:r>
    </w:p>
    <w:p>
      <w:pPr>
        <w:spacing w:before="0" w:after="0" w:line="480"/>
        <w:ind w:left="120"/>
        <w:jc w:val="both"/>
      </w:pPr>
      <w:r>
        <w:rPr>
          <w:rFonts w:ascii="Times New Roman" w:hAnsi="Times New Roman"/>
          <w:b/>
          <w:i w:val="false"/>
          <w:color w:val="000000"/>
          <w:sz w:val="24"/>
        </w:rPr>
        <w:t>701—105.1</w:t>
      </w:r>
      <w:r>
        <w:rPr>
          <w:rFonts w:ascii="Times New Roman" w:hAnsi="Times New Roman"/>
          <w:b/>
          <w:i w:val="false"/>
          <w:color w:val="000000"/>
          <w:sz w:val="24"/>
        </w:rPr>
        <w:t xml:space="preserve">(435) </w:t>
      </w:r>
      <w:r>
        <w:rPr>
          <w:rFonts w:ascii="Times New Roman" w:hAnsi="Times New Roman"/>
          <w:b/>
          <w:i w:val="false"/>
          <w:color w:val="000000"/>
          <w:sz w:val="24"/>
        </w:rPr>
        <w:t xml:space="preserve">Movement of home to another county. </w:t>
      </w:r>
      <w:r>
        <w:rPr>
          <w:rFonts w:ascii="Times New Roman" w:hAnsi="Times New Roman"/>
          <w:b w:val="false"/>
          <w:i w:val="false"/>
          <w:color w:val="000000"/>
          <w:sz w:val="24"/>
        </w:rPr>
        <w:t>If one or both installments of the tax for the current fiscal year have been paid and subsequently the home is moved to another county, the tax paid shall remain in the county that originally collected. No reimbursement shall be made either to the owner of the home or to the county to which the home is moved. If only the first installment has been paid and the home is moved prior to January 1, the second installment shall be made to the county to which the home is moved.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6">
        <w:r>
          <w:rPr>
            <w:rStyle w:val="Hyperlink"/>
            <w:rFonts w:ascii="Times New Roman" w:hAnsi="Times New Roman"/>
            <w:b w:val="false"/>
            <w:i w:val="false"/>
            <w:color w:val="000000"/>
            <w:sz w:val="24"/>
          </w:rPr>
          <w:t>435.24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701—105.2</w:t>
      </w:r>
      <w:r>
        <w:rPr>
          <w:rFonts w:ascii="Times New Roman" w:hAnsi="Times New Roman"/>
          <w:b/>
          <w:i w:val="false"/>
          <w:color w:val="000000"/>
          <w:sz w:val="24"/>
        </w:rPr>
        <w:t xml:space="preserve">(435) </w:t>
      </w:r>
      <w:r>
        <w:rPr>
          <w:rFonts w:ascii="Times New Roman" w:hAnsi="Times New Roman"/>
          <w:b/>
          <w:i w:val="false"/>
          <w:color w:val="000000"/>
          <w:sz w:val="24"/>
        </w:rPr>
        <w:t xml:space="preserve">Sale of home. </w:t>
      </w:r>
      <w:r>
        <w:rPr>
          <w:rFonts w:ascii="Times New Roman" w:hAnsi="Times New Roman"/>
          <w:b w:val="false"/>
          <w:i w:val="false"/>
          <w:color w:val="000000"/>
          <w:sz w:val="24"/>
        </w:rPr>
        <w:t>If the owner of a home has paid one or both installments of the tax for the current fiscal year and subsequently sells the home, no reimbursement shall be made to the seller for any portion of the tax paid. If only the first installment has been paid and the home is sold prior to January 1, the purchaser is responsible for the second installment.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7">
        <w:r>
          <w:rPr>
            <w:rStyle w:val="Hyperlink"/>
            <w:rFonts w:ascii="Times New Roman" w:hAnsi="Times New Roman"/>
            <w:b w:val="false"/>
            <w:i w:val="false"/>
            <w:color w:val="000000"/>
            <w:sz w:val="24"/>
          </w:rPr>
          <w:t>435.24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701—105.3</w:t>
      </w:r>
      <w:r>
        <w:rPr>
          <w:rFonts w:ascii="Times New Roman" w:hAnsi="Times New Roman"/>
          <w:b/>
          <w:i w:val="false"/>
          <w:color w:val="000000"/>
          <w:sz w:val="24"/>
        </w:rPr>
        <w:t xml:space="preserve">(435) </w:t>
      </w:r>
      <w:r>
        <w:rPr>
          <w:rFonts w:ascii="Times New Roman" w:hAnsi="Times New Roman"/>
          <w:b/>
          <w:i w:val="false"/>
          <w:color w:val="000000"/>
          <w:sz w:val="24"/>
        </w:rPr>
        <w:t xml:space="preserve">Reduced tax rate.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105.3(1)</w:t>
      </w:r>
      <w:r>
        <w:rPr>
          <w:rFonts w:ascii="Times New Roman" w:hAnsi="Times New Roman"/>
          <w:b w:val="false"/>
          <w:i w:val="false"/>
          <w:color w:val="000000"/>
          <w:sz w:val="24"/>
        </w:rPr>
        <w:t> </w:t>
      </w:r>
      <w:r>
        <w:rPr>
          <w:rFonts w:ascii="Times New Roman" w:hAnsi="Times New Roman"/>
          <w:b w:val="false"/>
          <w:i/>
          <w:color w:val="000000"/>
          <w:sz w:val="24"/>
        </w:rPr>
        <w:t xml:space="preserve">Claimant. </w:t>
      </w:r>
      <w:r>
        <w:rPr>
          <w:rFonts w:ascii="Times New Roman" w:hAnsi="Times New Roman"/>
          <w:b w:val="false"/>
          <w:i w:val="false"/>
          <w:color w:val="000000"/>
          <w:sz w:val="24"/>
        </w:rPr>
        <w:t xml:space="preserve">The claimant’s name must appear on the title to the home to receive the reduced rate of tax provided in Iowa Code section </w:t>
      </w:r>
      <w:hyperlink r:id="rId8">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105.3(2)</w:t>
      </w:r>
      <w:r>
        <w:rPr>
          <w:rFonts w:ascii="Times New Roman" w:hAnsi="Times New Roman"/>
          <w:b w:val="false"/>
          <w:i w:val="false"/>
          <w:color w:val="000000"/>
          <w:sz w:val="24"/>
        </w:rPr>
        <w:t> </w:t>
      </w:r>
      <w:r>
        <w:rPr>
          <w:rFonts w:ascii="Times New Roman" w:hAnsi="Times New Roman"/>
          <w:b w:val="false"/>
          <w:i/>
          <w:color w:val="000000"/>
          <w:sz w:val="24"/>
        </w:rPr>
        <w:t xml:space="preserve">Claims. </w:t>
      </w:r>
      <w:r>
        <w:rPr>
          <w:rFonts w:ascii="Times New Roman" w:hAnsi="Times New Roman"/>
          <w:b w:val="false"/>
          <w:i w:val="false"/>
          <w:color w:val="000000"/>
          <w:sz w:val="24"/>
        </w:rPr>
        <w:t>Claims for the reduced tax rate must be filed with the county treasurer between January 1 and June 1 immediately preceding the fiscal year during which the taxes are due. The county treasurer may extend the time for filing a claim for reduced tax rate through March 31 of the fiscal year during which the property taxes are due if good cause exists. The director may also extend the time for filing a claim through June 30 of the fiscal year during which the property taxes are due if good cause exists. Late reduced tax rate claims will be reimbursed by the director directly to the claimant upon proof of tax payment. The claimant must own and occupy the home at the time the claim for credit is filed or, if the claimant is deceased, at the time of the claimant’s death. The claim forms shall be provided by the department.</w:t>
      </w:r>
    </w:p>
    <w:p>
      <w:pPr>
        <w:spacing w:before="0" w:after="0" w:line="480"/>
        <w:ind w:left="120"/>
        <w:jc w:val="both"/>
      </w:pPr>
      <w:r>
        <w:rPr>
          <w:rFonts w:ascii="Times New Roman" w:hAnsi="Times New Roman"/>
          <w:b w:val="false"/>
          <w:i w:val="false"/>
          <w:color w:val="000000"/>
          <w:sz w:val="24"/>
        </w:rPr>
        <w:t>EXAMPLE</w:t>
      </w:r>
      <w:r>
        <w:rPr>
          <w:rFonts w:ascii="Times New Roman" w:hAnsi="Times New Roman"/>
          <w:b w:val="false"/>
          <w:i w:val="false"/>
          <w:color w:val="000000"/>
          <w:sz w:val="24"/>
        </w:rPr>
        <w:t>: A taxpayer wants to submit a claim reducing the taxpayer’s taxes payable in September 2024 and March 2025. The taxpayer’s application for credit must be submitted by June 1, 2024. The taxpayer becomes ill and is unable to submit the taxpayer’s application on time. The taxpayer asks the treasurer for an extension, and the treasurer extends the deadline to March 31, 2025. The department may extend the deadline to June 30,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105.3(3)</w:t>
      </w:r>
      <w:r>
        <w:rPr>
          <w:rFonts w:ascii="Times New Roman" w:hAnsi="Times New Roman"/>
          <w:b w:val="false"/>
          <w:i w:val="false"/>
          <w:color w:val="000000"/>
          <w:sz w:val="24"/>
        </w:rPr>
        <w:t> </w:t>
      </w:r>
      <w:r>
        <w:rPr>
          <w:rFonts w:ascii="Times New Roman" w:hAnsi="Times New Roman"/>
          <w:b w:val="false"/>
          <w:i/>
          <w:color w:val="000000"/>
          <w:sz w:val="24"/>
        </w:rPr>
        <w:t xml:space="preserve">Reports to department. </w:t>
      </w:r>
      <w:r>
        <w:rPr>
          <w:rFonts w:ascii="Times New Roman" w:hAnsi="Times New Roman"/>
          <w:b w:val="false"/>
          <w:i w:val="false"/>
          <w:color w:val="000000"/>
          <w:sz w:val="24"/>
        </w:rPr>
        <w:t xml:space="preserve">On or before May 1 of each year, the county treasurer of each county shall report to the department the amount of taxes not to be collected for the current fiscal year as a result of the reduced tax rate provided in Iowa Code section </w:t>
      </w:r>
      <w:hyperlink r:id="rId9">
        <w:r>
          <w:rPr>
            <w:rStyle w:val="Hyperlink"/>
            <w:rFonts w:ascii="Times New Roman" w:hAnsi="Times New Roman"/>
            <w:b w:val="false"/>
            <w:i w:val="false"/>
            <w:color w:val="000000"/>
            <w:sz w:val="24"/>
          </w:rPr>
          <w:t>435.22(2)</w:t>
        </w:r>
      </w:hyperlink>
      <w:r>
        <w:rPr>
          <w:rFonts w:ascii="Times New Roman" w:hAnsi="Times New Roman"/>
          <w:b w:val="false"/>
          <w:i w:val="false"/>
          <w:color w:val="000000"/>
          <w:sz w:val="24"/>
        </w:rPr>
        <w:t>. All reports shall be made on forms provided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105.3(4)</w:t>
      </w:r>
      <w:r>
        <w:rPr>
          <w:rFonts w:ascii="Times New Roman" w:hAnsi="Times New Roman"/>
          <w:b w:val="false"/>
          <w:i w:val="false"/>
          <w:color w:val="000000"/>
          <w:sz w:val="24"/>
        </w:rPr>
        <w:t> </w:t>
      </w:r>
      <w:r>
        <w:rPr>
          <w:rFonts w:ascii="Times New Roman" w:hAnsi="Times New Roman"/>
          <w:b w:val="false"/>
          <w:i/>
          <w:color w:val="000000"/>
          <w:sz w:val="24"/>
        </w:rPr>
        <w:t xml:space="preserve">Payment of claims. </w:t>
      </w:r>
      <w:r>
        <w:rPr>
          <w:rFonts w:ascii="Times New Roman" w:hAnsi="Times New Roman"/>
          <w:b w:val="false"/>
          <w:i w:val="false"/>
          <w:color w:val="000000"/>
          <w:sz w:val="24"/>
        </w:rPr>
        <w:t>On June 15 of each year, the department shall remit to each county treasurer an amount equal to the taxes not collected during the current fiscal year as a result of the granting of the reduced tax rate.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0">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701—105.4</w:t>
      </w:r>
      <w:r>
        <w:rPr>
          <w:rFonts w:ascii="Times New Roman" w:hAnsi="Times New Roman"/>
          <w:b/>
          <w:i w:val="false"/>
          <w:color w:val="000000"/>
          <w:sz w:val="24"/>
        </w:rPr>
        <w:t xml:space="preserve">(435) </w:t>
      </w:r>
      <w:r>
        <w:rPr>
          <w:rFonts w:ascii="Times New Roman" w:hAnsi="Times New Roman"/>
          <w:b/>
          <w:i w:val="false"/>
          <w:color w:val="000000"/>
          <w:sz w:val="24"/>
        </w:rPr>
        <w:t xml:space="preserve">Taxation—real estate. </w:t>
      </w:r>
      <w:r>
        <w:rPr>
          <w:rFonts w:ascii="Times New Roman" w:hAnsi="Times New Roman"/>
          <w:b w:val="false"/>
          <w:i w:val="false"/>
          <w:color w:val="000000"/>
          <w:sz w:val="24"/>
        </w:rPr>
        <w:t>Homes located outside of mobile home parks or manufactured home communities must be placed on a permanent foundation and are subject to assessment and taxation as real estate. The homes are eligible for all property tax credits and exemptions applicable to other real estate. The assessor shall collect the title to a home only when a security interest is noted on the title and the secured party is given a mortgage on the land on which the home is located.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1">
        <w:r>
          <w:rPr>
            <w:rStyle w:val="Hyperlink"/>
            <w:rFonts w:ascii="Times New Roman" w:hAnsi="Times New Roman"/>
            <w:b w:val="false"/>
            <w:i w:val="false"/>
            <w:color w:val="000000"/>
            <w:sz w:val="24"/>
          </w:rPr>
          <w:t>435.26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701—105.5</w:t>
      </w:r>
      <w:r>
        <w:rPr>
          <w:rFonts w:ascii="Times New Roman" w:hAnsi="Times New Roman"/>
          <w:b/>
          <w:i w:val="false"/>
          <w:color w:val="000000"/>
          <w:sz w:val="24"/>
        </w:rPr>
        <w:t xml:space="preserve">(435) </w:t>
      </w:r>
      <w:r>
        <w:rPr>
          <w:rFonts w:ascii="Times New Roman" w:hAnsi="Times New Roman"/>
          <w:b/>
          <w:i w:val="false"/>
          <w:color w:val="000000"/>
          <w:sz w:val="24"/>
        </w:rPr>
        <w:t xml:space="preserve">Taxation—square footage. </w:t>
      </w:r>
      <w:r>
        <w:rPr>
          <w:rFonts w:ascii="Times New Roman" w:hAnsi="Times New Roman"/>
          <w:b w:val="false"/>
          <w:i w:val="false"/>
          <w:color w:val="000000"/>
          <w:sz w:val="24"/>
        </w:rPr>
        <w:t>It shall be the responsibility of the owner to provide the county treasurer with appropriate documentation to verify eligibility for the reduced tax due to the home’s age. Modular homes placed in mobile home parks or manufactured home communities that were not in existence on or before January 1, 1998, shall be subject to assessment and taxation as real estate.</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2">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 xml:space="preserve"> and </w:t>
      </w:r>
      <w:hyperlink r:id="rId13">
        <w:r>
          <w:rPr>
            <w:rStyle w:val="Hyperlink"/>
            <w:rFonts w:ascii="Times New Roman" w:hAnsi="Times New Roman"/>
            <w:b w:val="false"/>
            <w:i w:val="false"/>
            <w:color w:val="000000"/>
            <w:sz w:val="24"/>
          </w:rPr>
          <w:t>435.24(3)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701—105.6</w:t>
      </w:r>
      <w:r>
        <w:rPr>
          <w:rFonts w:ascii="Times New Roman" w:hAnsi="Times New Roman"/>
          <w:b/>
          <w:i w:val="false"/>
          <w:color w:val="000000"/>
          <w:sz w:val="24"/>
        </w:rPr>
        <w:t xml:space="preserve">(435) </w:t>
      </w:r>
      <w:r>
        <w:rPr>
          <w:rFonts w:ascii="Times New Roman" w:hAnsi="Times New Roman"/>
          <w:b/>
          <w:i w:val="false"/>
          <w:color w:val="000000"/>
          <w:sz w:val="24"/>
        </w:rPr>
        <w:t xml:space="preserve">Audit by department. </w:t>
      </w:r>
      <w:r>
        <w:rPr>
          <w:rFonts w:ascii="Times New Roman" w:hAnsi="Times New Roman"/>
          <w:b w:val="false"/>
          <w:i w:val="false"/>
          <w:color w:val="000000"/>
          <w:sz w:val="24"/>
        </w:rPr>
        <w:t xml:space="preserve">The director may audit the books and records of the county treasurer to determine if the amounts certified by the county treasurer to the director as tax not collected due to the reduced tax rate are true and correct. Upon investigation, the director may order the county treasurer to reimburse the state of Iowa any amounts that were erroneously paid to the county treasurer. The director may also require that additional payments be made to the county treasurer by the owner of a home if investigation reveals that the county treasurer did not receive the full amounts due in accordance with Iowa Code section </w:t>
      </w:r>
      <w:hyperlink r:id="rId14">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 director may initiate investigations or assist the county treasurer’s investigations into eligibility of a claimant for the reduced tax rate in accordance with Iowa Code section </w:t>
      </w:r>
      <w:hyperlink r:id="rId15">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 xml:space="preserve">. Upon investigation, the director may order a claimant to reimburse the state of Iowa any amount erroneously claimed as a reduced tax rate that was reimbursed by the department to the county treasurer in accordance with Iowa Code section </w:t>
      </w:r>
      <w:hyperlink r:id="rId16">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 xml:space="preserve">. The director may also issue a reimbursement directly to the claimant if it is determined the claimant did not receive the full benefits to which the claimant was entitled pursuant to Iowa Code section </w:t>
      </w:r>
      <w:hyperlink r:id="rId17">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18">
        <w:r>
          <w:rPr>
            <w:rStyle w:val="Hyperlink"/>
            <w:rFonts w:ascii="Times New Roman" w:hAnsi="Times New Roman"/>
            <w:b w:val="false"/>
            <w:i w:val="false"/>
            <w:color w:val="000000"/>
            <w:sz w:val="24"/>
          </w:rPr>
          <w:t>435.22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701—105.7</w:t>
      </w:r>
      <w:r>
        <w:rPr>
          <w:rFonts w:ascii="Times New Roman" w:hAnsi="Times New Roman"/>
          <w:b/>
          <w:i w:val="false"/>
          <w:color w:val="000000"/>
          <w:sz w:val="24"/>
        </w:rPr>
        <w:t xml:space="preserve">(435) </w:t>
      </w:r>
      <w:r>
        <w:rPr>
          <w:rFonts w:ascii="Times New Roman" w:hAnsi="Times New Roman"/>
          <w:b/>
          <w:i w:val="false"/>
          <w:color w:val="000000"/>
          <w:sz w:val="24"/>
        </w:rPr>
        <w:t xml:space="preserve">Collection of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105.7(1)</w:t>
      </w:r>
      <w:r>
        <w:rPr>
          <w:rFonts w:ascii="Times New Roman" w:hAnsi="Times New Roman"/>
          <w:b w:val="false"/>
          <w:i w:val="false"/>
          <w:color w:val="000000"/>
          <w:sz w:val="24"/>
        </w:rPr>
        <w:t> </w:t>
      </w:r>
      <w:r>
        <w:rPr>
          <w:rFonts w:ascii="Times New Roman" w:hAnsi="Times New Roman"/>
          <w:b w:val="false"/>
          <w:i/>
          <w:color w:val="000000"/>
          <w:sz w:val="24"/>
        </w:rPr>
        <w:t xml:space="preserve">Partial payment of tax. </w:t>
      </w:r>
      <w:r>
        <w:rPr>
          <w:rFonts w:ascii="Times New Roman" w:hAnsi="Times New Roman"/>
          <w:b w:val="false"/>
          <w:i w:val="false"/>
          <w:color w:val="000000"/>
          <w:sz w:val="24"/>
        </w:rPr>
        <w:t xml:space="preserve">Partial payments of taxes may be allowed at the discretion of the county treasurer. If the treasurer elects to permit partial payments, the authorization shall apply to all taxpayers within the county. If the partial payments made are insufficient to fully satisfy an installment due by the delinquency date, the unpaid portion of the installment shall draw interest as provided in Iowa Code section </w:t>
      </w:r>
      <w:hyperlink r:id="rId19">
        <w:r>
          <w:rPr>
            <w:rStyle w:val="Hyperlink"/>
            <w:rFonts w:ascii="Times New Roman" w:hAnsi="Times New Roman"/>
            <w:b w:val="false"/>
            <w:i w:val="false"/>
            <w:color w:val="000000"/>
            <w:sz w:val="24"/>
          </w:rPr>
          <w:t>445.39</w:t>
        </w:r>
      </w:hyperlink>
      <w:r>
        <w:rPr>
          <w:rFonts w:ascii="Times New Roman" w:hAnsi="Times New Roman"/>
          <w:b w:val="false"/>
          <w:i w:val="false"/>
          <w:color w:val="000000"/>
          <w:sz w:val="24"/>
        </w:rPr>
        <w:t>. Current year taxes may be paid at any time regardless of any prior year delinquent taxes. The minimum payment for delinquent taxes must be equal to or exceed the interest, fees, and costs of the installment being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105.7(2)</w:t>
      </w:r>
      <w:r>
        <w:rPr>
          <w:rFonts w:ascii="Times New Roman" w:hAnsi="Times New Roman"/>
          <w:b w:val="false"/>
          <w:i w:val="false"/>
          <w:color w:val="000000"/>
          <w:sz w:val="24"/>
        </w:rPr>
        <w:t> </w:t>
      </w:r>
      <w:r>
        <w:rPr>
          <w:rFonts w:ascii="Times New Roman" w:hAnsi="Times New Roman"/>
          <w:b w:val="false"/>
          <w:i/>
          <w:color w:val="000000"/>
          <w:sz w:val="24"/>
        </w:rPr>
        <w:t xml:space="preserve">When delinquent. </w:t>
      </w:r>
      <w:r>
        <w:rPr>
          <w:rFonts w:ascii="Times New Roman" w:hAnsi="Times New Roman"/>
          <w:b w:val="false"/>
          <w:i w:val="false"/>
          <w:color w:val="000000"/>
          <w:sz w:val="24"/>
        </w:rPr>
        <w:t>The date on which unpaid taxes become delinquent is to be determined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home is put to use between January 1 and March 31, the prorated tax for the period from the date the home is put to use through June 30 becomes delinquent on April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the home is put to use between April 1 and June 30, the prorated tax for the period from the date the home is put to use through June 30 becomes delinquent on October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If the home is put to use between July 1 and September 30, the prorated tax for the period from the date the home is put to use through December 31 becomes delinquent on October 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If the home is put to use between October 1 and December 31, the prorated tax for the period from the date the home is put to use through December 31 becomes delinquent on April 1 of the following calendar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purposes of this rule, a home is “put to use” upon its acquisition from a dealer or its being brought into Iowa for immediate use by a person who is not engaged in the business of manufacturing, sale, or transportation of homes.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0">
        <w:r>
          <w:rPr>
            <w:rStyle w:val="Hyperlink"/>
            <w:rFonts w:ascii="Times New Roman" w:hAnsi="Times New Roman"/>
            <w:b w:val="false"/>
            <w:i w:val="false"/>
            <w:color w:val="000000"/>
            <w:sz w:val="24"/>
          </w:rPr>
          <w:t>435.24</w:t>
        </w:r>
      </w:hyperlink>
      <w:r>
        <w:rPr>
          <w:rFonts w:ascii="Times New Roman" w:hAnsi="Times New Roman"/>
          <w:b w:val="false"/>
          <w:i w:val="false"/>
          <w:color w:val="000000"/>
          <w:sz w:val="24"/>
        </w:rPr>
        <w:t xml:space="preserve"> and </w:t>
      </w:r>
      <w:hyperlink r:id="rId21">
        <w:r>
          <w:rPr>
            <w:rStyle w:val="Hyperlink"/>
            <w:rFonts w:ascii="Times New Roman" w:hAnsi="Times New Roman"/>
            <w:b w:val="false"/>
            <w:i w:val="false"/>
            <w:color w:val="000000"/>
            <w:sz w:val="24"/>
          </w:rPr>
          <w:t>435.25</w:t>
        </w:r>
      </w:hyperlink>
      <w:r>
        <w:rPr>
          <w:rFonts w:ascii="Times New Roman" w:hAnsi="Times New Roman"/>
          <w:b w:val="false"/>
          <w:i w:val="false"/>
          <w:color w:val="000000"/>
          <w:sz w:val="24"/>
        </w:rPr>
        <w:t>.</w:t>
      </w:r>
    </w:p>
    <w:sectPr>
      <w:footerReference r:id="rId2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egs-ucjg-frv" Type="http://schemas.openxmlformats.org/officeDocument/2006/relationships/hyperlink" Id="rId4"/>
    <Relationship TargetMode="External" Target="mailto:nick.behlke@iowa.gov" Type="http://schemas.openxmlformats.org/officeDocument/2006/relationships/hyperlink" Id="rId5"/>
    <Relationship TargetMode="External" Target="https://www.legis.iowa.gov/docs/ico/chapter/435.24.pdf" Type="http://schemas.openxmlformats.org/officeDocument/2006/relationships/hyperlink" Id="rId6"/>
    <Relationship TargetMode="External" Target="https://www.legis.iowa.gov/docs/ico/chapter/435.24.pdf" Type="http://schemas.openxmlformats.org/officeDocument/2006/relationships/hyperlink" Id="rId7"/>
    <Relationship TargetMode="External" Target="https://www.legis.iowa.gov/docs/ico/chapter/435.22.pdf" Type="http://schemas.openxmlformats.org/officeDocument/2006/relationships/hyperlink" Id="rId8"/>
    <Relationship TargetMode="External" Target="https://www.legis.iowa.gov/docs/ico/chapter/435.22.pdf" Type="http://schemas.openxmlformats.org/officeDocument/2006/relationships/hyperlink" Id="rId9"/>
    <Relationship TargetMode="External" Target="https://www.legis.iowa.gov/docs/ico/chapter/435.22.pdf" Type="http://schemas.openxmlformats.org/officeDocument/2006/relationships/hyperlink" Id="rId10"/>
    <Relationship TargetMode="External" Target="https://www.legis.iowa.gov/docs/ico/chapter/435.26.pdf" Type="http://schemas.openxmlformats.org/officeDocument/2006/relationships/hyperlink" Id="rId11"/>
    <Relationship TargetMode="External" Target="https://www.legis.iowa.gov/docs/ico/chapter/435.22.pdf" Type="http://schemas.openxmlformats.org/officeDocument/2006/relationships/hyperlink" Id="rId12"/>
    <Relationship TargetMode="External" Target="https://www.legis.iowa.gov/docs/ico/chapter/435.24.pdf" Type="http://schemas.openxmlformats.org/officeDocument/2006/relationships/hyperlink" Id="rId13"/>
    <Relationship TargetMode="External" Target="https://www.legis.iowa.gov/docs/ico/chapter/435.22.pdf" Type="http://schemas.openxmlformats.org/officeDocument/2006/relationships/hyperlink" Id="rId14"/>
    <Relationship TargetMode="External" Target="https://www.legis.iowa.gov/docs/ico/chapter/435.22.pdf" Type="http://schemas.openxmlformats.org/officeDocument/2006/relationships/hyperlink" Id="rId15"/>
    <Relationship TargetMode="External" Target="https://www.legis.iowa.gov/docs/ico/chapter/435.22.pdf" Type="http://schemas.openxmlformats.org/officeDocument/2006/relationships/hyperlink" Id="rId16"/>
    <Relationship TargetMode="External" Target="https://www.legis.iowa.gov/docs/ico/chapter/435.22.pdf" Type="http://schemas.openxmlformats.org/officeDocument/2006/relationships/hyperlink" Id="rId17"/>
    <Relationship TargetMode="External" Target="https://www.legis.iowa.gov/docs/ico/chapter/435.22.pdf" Type="http://schemas.openxmlformats.org/officeDocument/2006/relationships/hyperlink" Id="rId18"/>
    <Relationship TargetMode="External" Target="https://www.legis.iowa.gov/docs/ico/chapter/445.39.pdf" Type="http://schemas.openxmlformats.org/officeDocument/2006/relationships/hyperlink" Id="rId19"/>
    <Relationship TargetMode="External" Target="https://www.legis.iowa.gov/docs/ico/chapter/435.24.pdf" Type="http://schemas.openxmlformats.org/officeDocument/2006/relationships/hyperlink" Id="rId20"/>
    <Relationship TargetMode="External" Target="https://www.legis.iowa.gov/docs/ico/chapter/435.25.pdf" Type="http://schemas.openxmlformats.org/officeDocument/2006/relationships/hyperlink" Id="rId21"/>
    <Relationship Target="footer.xml" Type="http://schemas.openxmlformats.org/officeDocument/2006/relationships/footer"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